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E5FD" w14:textId="77777777" w:rsidR="00FF000E" w:rsidRPr="00633149" w:rsidRDefault="00FF000E" w:rsidP="00FF000E">
      <w:pPr>
        <w:jc w:val="right"/>
        <w:rPr>
          <w:b/>
          <w:bCs/>
          <w:i/>
          <w:color w:val="000000"/>
          <w:sz w:val="24"/>
          <w:szCs w:val="24"/>
        </w:rPr>
      </w:pPr>
      <w:r w:rsidRPr="00633149">
        <w:rPr>
          <w:b/>
          <w:bCs/>
          <w:i/>
          <w:color w:val="000000"/>
          <w:sz w:val="24"/>
          <w:szCs w:val="24"/>
        </w:rPr>
        <w:t>ՆԱԽԱԳԻԾ</w:t>
      </w:r>
    </w:p>
    <w:p w14:paraId="11B2D249" w14:textId="77777777" w:rsidR="00FF000E" w:rsidRPr="00C326F6" w:rsidRDefault="00FF000E" w:rsidP="00FF000E">
      <w:pPr>
        <w:jc w:val="center"/>
        <w:rPr>
          <w:b/>
          <w:color w:val="000000"/>
          <w:sz w:val="24"/>
          <w:szCs w:val="24"/>
        </w:rPr>
      </w:pPr>
    </w:p>
    <w:p w14:paraId="1439F6EA" w14:textId="77777777" w:rsidR="00FF000E" w:rsidRPr="00C326F6" w:rsidRDefault="00FF000E" w:rsidP="00FF000E">
      <w:pPr>
        <w:jc w:val="center"/>
        <w:rPr>
          <w:b/>
          <w:color w:val="000000"/>
          <w:sz w:val="24"/>
          <w:szCs w:val="24"/>
        </w:rPr>
      </w:pPr>
      <w:r w:rsidRPr="00C326F6">
        <w:rPr>
          <w:b/>
          <w:color w:val="000000"/>
          <w:sz w:val="24"/>
          <w:szCs w:val="24"/>
        </w:rPr>
        <w:t>ՀԱՅԱՍՏԱՆԻ ՀԱՆՐԱՊԵՏՈՒԹՅԱՆ ՕՐԵՆՔԸ</w:t>
      </w:r>
    </w:p>
    <w:p w14:paraId="0EC231EC" w14:textId="77777777" w:rsidR="00FF000E" w:rsidRPr="00C326F6" w:rsidRDefault="00FF000E" w:rsidP="00FF000E">
      <w:pPr>
        <w:jc w:val="center"/>
        <w:rPr>
          <w:b/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«ՓՈՂԵՐԻ ԼՎԱՑՄԱՆ ԵՎ ԱՀԱԲԵԿՉՈՒԹՅԱՆ ՖԻՆԱՆՍԱՎՈՐՄԱՆ ԴԵՄ ՊԱՅՔԱՐԻ ՄԱՍԻՆ» ՕՐԵՆՔՈՒՄ ԼՐԱՑՈՒՄՆԵՐ ԵՎ </w:t>
      </w:r>
      <w:r>
        <w:rPr>
          <w:b/>
          <w:color w:val="000000"/>
          <w:sz w:val="24"/>
          <w:szCs w:val="24"/>
          <w:lang w:val="hy-AM"/>
        </w:rPr>
        <w:t>ՓՈՓՈԽՈՒԹՅՈՒՆՆԵՐ</w:t>
      </w:r>
      <w:r w:rsidRPr="00C326F6" w:rsidDel="00B92E48">
        <w:rPr>
          <w:b/>
          <w:color w:val="000000"/>
          <w:sz w:val="24"/>
          <w:szCs w:val="24"/>
          <w:lang w:val="hy-AM"/>
        </w:rPr>
        <w:t xml:space="preserve"> </w:t>
      </w:r>
      <w:r w:rsidRPr="00C326F6">
        <w:rPr>
          <w:b/>
          <w:color w:val="000000"/>
          <w:sz w:val="24"/>
          <w:szCs w:val="24"/>
          <w:lang w:val="hy-AM"/>
        </w:rPr>
        <w:br/>
        <w:t>ԿԱՏԱՐԵԼՈՒ ՄԱՍԻՆ</w:t>
      </w:r>
    </w:p>
    <w:p w14:paraId="4B01E614" w14:textId="77777777" w:rsidR="00FF000E" w:rsidRPr="00C326F6" w:rsidRDefault="00FF000E" w:rsidP="00FF000E">
      <w:pPr>
        <w:rPr>
          <w:b/>
          <w:color w:val="000000"/>
          <w:sz w:val="24"/>
          <w:szCs w:val="24"/>
          <w:lang w:val="hy-AM"/>
        </w:rPr>
      </w:pPr>
    </w:p>
    <w:p w14:paraId="22E461B6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Հոդված 1. </w:t>
      </w:r>
      <w:r w:rsidRPr="00C326F6">
        <w:rPr>
          <w:color w:val="000000"/>
          <w:sz w:val="24"/>
          <w:szCs w:val="24"/>
          <w:lang w:val="hy-AM"/>
        </w:rPr>
        <w:t>«Փողերի լվացման և ահաբեկչության ֆինանսավորման դեմ պայքարի մասին» 2008 թվականի մայիսի 26-ի ՀՕ-80-Ն օրենքի (այսուհետ՝ Օրենք) 3-րդ հոդվածի 1-ին մասում.</w:t>
      </w:r>
    </w:p>
    <w:p w14:paraId="2E8551CB" w14:textId="77777777" w:rsidR="00FF000E" w:rsidRPr="00C326F6" w:rsidRDefault="00FF000E" w:rsidP="00FF000E">
      <w:pPr>
        <w:pStyle w:val="ListParagraph"/>
        <w:numPr>
          <w:ilvl w:val="0"/>
          <w:numId w:val="1"/>
        </w:numPr>
        <w:tabs>
          <w:tab w:val="left" w:pos="1080"/>
        </w:tabs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4-րդ կետում լրացնել հետևյալ բովանդակությամբ «թա» ենթակետով.</w:t>
      </w:r>
    </w:p>
    <w:p w14:paraId="4B9FA7F2" w14:textId="700FC055" w:rsidR="00FF000E" w:rsidRPr="00C326F6" w:rsidRDefault="00FF000E" w:rsidP="00FF000E">
      <w:pPr>
        <w:pStyle w:val="ListParagraph"/>
        <w:tabs>
          <w:tab w:val="left" w:pos="1080"/>
        </w:tabs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«թա. «Կրիպտոակտիվների մասին» օրենքի համաձայն՝ կրիպտոակտիվներով ծառայություններ մատուցող անձինք</w:t>
      </w:r>
      <w:r w:rsidRPr="00FF000E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բացառությամբ կրիպտոակտիվների </w:t>
      </w:r>
      <w:proofErr w:type="spellStart"/>
      <w:r>
        <w:rPr>
          <w:rFonts w:ascii="GHEA Grapalat" w:hAnsi="GHEA Grapalat"/>
          <w:color w:val="000000"/>
          <w:sz w:val="24"/>
          <w:szCs w:val="24"/>
          <w:lang w:val="hy-AM"/>
        </w:rPr>
        <w:t>առևտրային</w:t>
      </w:r>
      <w:proofErr w:type="spellEnd"/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հարթակի գործարկման ծառայություններ մատուցող անձանց</w:t>
      </w:r>
      <w:r w:rsidR="0080007F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».</w:t>
      </w:r>
    </w:p>
    <w:p w14:paraId="46FAC887" w14:textId="77777777" w:rsidR="00FF000E" w:rsidRPr="00C326F6" w:rsidRDefault="00FF000E" w:rsidP="00FF000E">
      <w:pPr>
        <w:pStyle w:val="ListParagraph"/>
        <w:numPr>
          <w:ilvl w:val="0"/>
          <w:numId w:val="1"/>
        </w:numPr>
        <w:tabs>
          <w:tab w:val="left" w:pos="1080"/>
        </w:tabs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5-րդ կետում ««ա»-«թ»» տառերը փոխարինել ««ա»-«թա»» տառերով.</w:t>
      </w:r>
    </w:p>
    <w:p w14:paraId="1DEBC62D" w14:textId="77777777" w:rsidR="00FF000E" w:rsidRPr="00C326F6" w:rsidRDefault="00FF000E" w:rsidP="00FF000E">
      <w:pPr>
        <w:pStyle w:val="ListParagraph"/>
        <w:numPr>
          <w:ilvl w:val="0"/>
          <w:numId w:val="1"/>
        </w:numPr>
        <w:tabs>
          <w:tab w:val="left" w:pos="1080"/>
        </w:tabs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լրացնել հետևյալ բովանդակությամբ 9.2-րդ կետով.</w:t>
      </w:r>
    </w:p>
    <w:p w14:paraId="791E6BBC" w14:textId="77777777" w:rsidR="00FF000E" w:rsidRPr="00C326F6" w:rsidRDefault="00FF000E" w:rsidP="00FF000E">
      <w:pPr>
        <w:pStyle w:val="ListParagraph"/>
        <w:tabs>
          <w:tab w:val="left" w:pos="990"/>
        </w:tabs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C326F6">
        <w:rPr>
          <w:rFonts w:ascii="GHEA Grapalat" w:hAnsi="GHEA Grapalat"/>
          <w:b/>
          <w:color w:val="000000"/>
          <w:sz w:val="24"/>
          <w:szCs w:val="24"/>
          <w:lang w:val="hy-AM"/>
        </w:rPr>
        <w:t>9.2) կրիպտոակտիվի փոխանցումը</w:t>
      </w: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 xml:space="preserve"> գործարք է, որը ֆինանսական հաստատության միջոցով կատարվում է փոխանցումը կատարողի անունից՝ նպատակ ունենալով այդ կամ այլ ֆինանսական հաստատությունում որոշակի </w:t>
      </w:r>
      <w:proofErr w:type="spellStart"/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կրիպտոակտիվ</w:t>
      </w:r>
      <w:proofErr w:type="spellEnd"/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կամ </w:t>
      </w: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գումար հասանելի դարձնել փոխանցումն ստացողի համար՝ անկախ փոխանցումը կատարողի և փոխանցումն ստացողի՝ նույն անձը լինելու հանգամանքից.»:</w:t>
      </w:r>
    </w:p>
    <w:p w14:paraId="1F17FEC4" w14:textId="441905B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>Հոդված 2.</w:t>
      </w:r>
      <w:r w:rsidRPr="00C326F6">
        <w:rPr>
          <w:color w:val="000000"/>
          <w:sz w:val="24"/>
          <w:szCs w:val="24"/>
          <w:lang w:val="hy-AM"/>
        </w:rPr>
        <w:t xml:space="preserve"> Օրենքի 6-րդ հոդվածի 3-րդ մասի 1-ին կետից հանել «ինչպես նաև» բառերը և «5 միլիոն դրամը» բառերից հետո լրացնել «, ինչպես նաև </w:t>
      </w:r>
      <w:proofErr w:type="spellStart"/>
      <w:r w:rsidRPr="00C326F6">
        <w:rPr>
          <w:color w:val="000000"/>
          <w:sz w:val="24"/>
          <w:szCs w:val="24"/>
          <w:lang w:val="hy-AM"/>
        </w:rPr>
        <w:t>կրիպտոակտիվով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գործարքներ, որոնց գումարը հավասար է կամ գերազանցում է 1 միլիոն դրամը.» բառերով:</w:t>
      </w:r>
    </w:p>
    <w:p w14:paraId="7695553B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Հոդված 3. </w:t>
      </w:r>
      <w:r w:rsidRPr="00C326F6">
        <w:rPr>
          <w:color w:val="000000"/>
          <w:sz w:val="24"/>
          <w:szCs w:val="24"/>
          <w:lang w:val="hy-AM"/>
        </w:rPr>
        <w:t>Օրենքի 16-րդ հոդվածի 2-րդ մասի 2-րդ կետում «միջազգային դրամական» բառերից հետո լրացնել «կամ կրիպտոակտիվի» բառերով:</w:t>
      </w:r>
    </w:p>
    <w:p w14:paraId="59F3A2D5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Հոդված </w:t>
      </w:r>
      <w:r>
        <w:rPr>
          <w:b/>
          <w:color w:val="000000"/>
          <w:sz w:val="24"/>
          <w:szCs w:val="24"/>
          <w:lang w:val="hy-AM"/>
        </w:rPr>
        <w:t>4</w:t>
      </w:r>
      <w:r w:rsidRPr="00C326F6">
        <w:rPr>
          <w:b/>
          <w:color w:val="000000"/>
          <w:sz w:val="24"/>
          <w:szCs w:val="24"/>
          <w:lang w:val="hy-AM"/>
        </w:rPr>
        <w:t xml:space="preserve">. </w:t>
      </w:r>
      <w:r w:rsidRPr="00C326F6">
        <w:rPr>
          <w:color w:val="000000"/>
          <w:sz w:val="24"/>
          <w:szCs w:val="24"/>
          <w:lang w:val="hy-AM"/>
        </w:rPr>
        <w:t>Օրենքը լրացնել հետևյալ բովանդակությամբ 20.1-ին հոդվածով.</w:t>
      </w:r>
    </w:p>
    <w:p w14:paraId="72BA9C85" w14:textId="77777777" w:rsidR="00FF000E" w:rsidRPr="00C326F6" w:rsidRDefault="00FF000E" w:rsidP="00FF000E">
      <w:pPr>
        <w:shd w:val="clear" w:color="auto" w:fill="FFFFFF"/>
        <w:spacing w:after="0" w:line="240" w:lineRule="auto"/>
        <w:ind w:left="2430" w:hanging="1710"/>
        <w:rPr>
          <w:rFonts w:eastAsia="Times New Roman"/>
          <w:color w:val="000000"/>
          <w:sz w:val="24"/>
          <w:szCs w:val="24"/>
          <w:lang w:val="hy-AM"/>
        </w:rPr>
      </w:pPr>
      <w:r w:rsidRPr="00C326F6">
        <w:rPr>
          <w:rFonts w:eastAsia="Times New Roman" w:cs="Calibri"/>
          <w:color w:val="000000"/>
          <w:sz w:val="24"/>
          <w:szCs w:val="24"/>
          <w:lang w:val="hy-AM"/>
        </w:rPr>
        <w:t>«</w:t>
      </w:r>
      <w:r w:rsidRPr="00C326F6">
        <w:rPr>
          <w:b/>
          <w:color w:val="000000"/>
          <w:sz w:val="24"/>
          <w:szCs w:val="24"/>
          <w:lang w:val="hy-AM"/>
        </w:rPr>
        <w:t xml:space="preserve">Հոդված </w:t>
      </w:r>
      <w:r w:rsidRPr="00C326F6">
        <w:rPr>
          <w:rFonts w:cs="Calibri"/>
          <w:b/>
          <w:color w:val="000000"/>
          <w:sz w:val="24"/>
          <w:szCs w:val="24"/>
          <w:lang w:val="hy-AM"/>
        </w:rPr>
        <w:t> </w:t>
      </w:r>
      <w:r w:rsidRPr="00C326F6">
        <w:rPr>
          <w:b/>
          <w:color w:val="000000"/>
          <w:sz w:val="24"/>
          <w:szCs w:val="24"/>
          <w:lang w:val="hy-AM"/>
        </w:rPr>
        <w:t>20.1 Կրիպտոակտիվի փոխանցումների հետ կապված պարտականությունները</w:t>
      </w:r>
    </w:p>
    <w:p w14:paraId="7C137DAB" w14:textId="77777777" w:rsidR="00FC6CFD" w:rsidRPr="00FC6CFD" w:rsidRDefault="00FC6CFD" w:rsidP="00FC6CFD">
      <w:pPr>
        <w:pStyle w:val="ListParagraph"/>
        <w:numPr>
          <w:ilvl w:val="0"/>
          <w:numId w:val="2"/>
        </w:numPr>
        <w:spacing w:before="60" w:after="60" w:line="288" w:lineRule="auto"/>
        <w:ind w:left="0"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FC6CFD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Կրիպտոակտիվի փոխանցումն ուղարկող և ստացող ֆինանսական հաստատությունը պետք է ձեռք բերի և պահպանի հետևյալ տեղեկությունները`</w:t>
      </w:r>
    </w:p>
    <w:p w14:paraId="12C903EF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lastRenderedPageBreak/>
        <w:t>1) փոխանցում կատարողի և փոխանցումն ստացողի անունը, ազգանունը կամ անվանումը.</w:t>
      </w:r>
    </w:p>
    <w:p w14:paraId="44A89036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t xml:space="preserve">2) </w:t>
      </w:r>
      <w:proofErr w:type="spellStart"/>
      <w:r w:rsidRPr="00C326F6">
        <w:rPr>
          <w:color w:val="000000"/>
          <w:sz w:val="24"/>
          <w:szCs w:val="24"/>
          <w:lang w:val="hy-AM"/>
        </w:rPr>
        <w:t>ապակենտրոնացված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գրանցամատյանի տեխնոլոգիայի օգտագործմամբ կրիպտոակտիվի փոխանցման դեպքում՝ փոխանցում կատարողի և փոխանցումն ստացողի </w:t>
      </w:r>
      <w:proofErr w:type="spellStart"/>
      <w:r w:rsidRPr="00C326F6">
        <w:rPr>
          <w:color w:val="000000"/>
          <w:sz w:val="24"/>
          <w:szCs w:val="24"/>
          <w:lang w:val="hy-AM"/>
        </w:rPr>
        <w:t>ապակենտրոնացված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գրանցամատյանի հասցեները և կրիպտոակտիվի հաշվի համարները, եթե կրիպտոակտիվի հաշվի համարներն օգտագործվել են կրիպտոակտիվի փոխանցումը կատարելու համար.</w:t>
      </w:r>
    </w:p>
    <w:p w14:paraId="11B13DCA" w14:textId="77777777" w:rsidR="00FF000E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t xml:space="preserve">3) առանց </w:t>
      </w:r>
      <w:proofErr w:type="spellStart"/>
      <w:r w:rsidRPr="00C326F6">
        <w:rPr>
          <w:color w:val="000000"/>
          <w:sz w:val="24"/>
          <w:szCs w:val="24"/>
          <w:lang w:val="hy-AM"/>
        </w:rPr>
        <w:t>ապակենտրոնացված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գրանցամատյանի տեխնոլոգիայի օգտագործման կրիպտոակտիվի փոխանցման դեպքում՝ փոխանցում կատարողի և փոխանցումն ստացողի՝ կրիպտոակտիվի փոխանցման համար օգտագործված կրիպտոակտիվի հաշվի համարները</w:t>
      </w:r>
      <w:r w:rsidR="00FC6CFD">
        <w:rPr>
          <w:color w:val="000000"/>
          <w:sz w:val="24"/>
          <w:szCs w:val="24"/>
          <w:lang w:val="hy-AM"/>
        </w:rPr>
        <w:t xml:space="preserve">. </w:t>
      </w:r>
    </w:p>
    <w:p w14:paraId="579C1D83" w14:textId="4C55B7A5" w:rsidR="00FC6CFD" w:rsidRPr="00C326F6" w:rsidRDefault="00FC6CFD" w:rsidP="00FC6CFD">
      <w:pPr>
        <w:rPr>
          <w:color w:val="000000"/>
          <w:sz w:val="24"/>
          <w:szCs w:val="24"/>
          <w:lang w:val="hy-AM"/>
        </w:rPr>
      </w:pPr>
      <w:r w:rsidRPr="00FC6CFD">
        <w:rPr>
          <w:color w:val="000000"/>
          <w:sz w:val="24"/>
          <w:szCs w:val="24"/>
          <w:lang w:val="hy-AM"/>
        </w:rPr>
        <w:t>4</w:t>
      </w:r>
      <w:r w:rsidRPr="00C326F6">
        <w:rPr>
          <w:color w:val="000000"/>
          <w:sz w:val="24"/>
          <w:szCs w:val="24"/>
          <w:lang w:val="hy-AM"/>
        </w:rPr>
        <w:t>) կրիպտոակտիվի փոխանցումն ուղարկող ֆինանսական հաստատության դեպքում՝ փոխանցում կատարողի, իսկ կրիպտոակտիվի փոխանցումը ստացող ֆինանսական հաստատության դեպքում՝ փոխանցումն ստացողի անձը հաստատող փաստաթղթի տվյալները կամ հասցեն կամ ծննդյան ամսաթիվը և վայրը՝ ֆիզիկական անձի համար, անհատականացման համարը (պետական գրանցման, հաշվառման համարը և այլն) կամ գտնվելու վայրի հասցեն՝ իրավաբանական անձի համար:</w:t>
      </w:r>
    </w:p>
    <w:p w14:paraId="1B250E19" w14:textId="162C29D5" w:rsidR="00FF000E" w:rsidRPr="00971858" w:rsidRDefault="00FF000E" w:rsidP="00FF000E">
      <w:pPr>
        <w:pStyle w:val="ListParagraph"/>
        <w:numPr>
          <w:ilvl w:val="0"/>
          <w:numId w:val="2"/>
        </w:numPr>
        <w:spacing w:before="60" w:after="60" w:line="288" w:lineRule="auto"/>
        <w:ind w:left="0"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Կրիպտոակտիվի փոխանցումների դեպքում կրիպտոակտիվի փոխանցումը ուղարկող ֆինանսական հաստատությունը պետք է սույն հոդվածով նախատեսված տեղեկություններն անմիջապես և անվտանգ կերպով փոխանցի կրիպտոակտիվի փոխանցումն ստացող ֆինանսական հաստատությանը: Տեղեկությունների փոխանցումն իրականացվում է ուղղակի կամ անուղղակի եղանակով, և չի պահանջվում, որ դրանք ուղղակիորեն կցված լինեն կրիպտոակտիվի փոխանցմանը: Կրիպտոակտիվի մեկից ավելի փոխանցումների խմբավորման դեպքում կրիպտոակտիվի փոխանցումն ուղարկող ֆինանսական հաստատությունը կարող է յուրաքանչյուր առանձին փոխանցման մեջ նշել միայն փոխանցում կատարողի վերաբերյալ սույն հոդվածի 1-ին մասի 2-րդ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և 3-րդ </w:t>
      </w: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կետ</w:t>
      </w:r>
      <w:r w:rsidR="009265D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եր</w:t>
      </w: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ով նախատեսված տեղեկությունները, եթե խմբավորված փոխանցումը պարունակում է սույն հոդվածի 1-ին մասով նախատեսված բոլոր տեղեկությունները: </w:t>
      </w:r>
    </w:p>
    <w:p w14:paraId="779A90F2" w14:textId="77777777" w:rsidR="00FF000E" w:rsidRPr="00971858" w:rsidRDefault="00FF000E" w:rsidP="00FF000E">
      <w:pPr>
        <w:pStyle w:val="ListParagraph"/>
        <w:numPr>
          <w:ilvl w:val="0"/>
          <w:numId w:val="2"/>
        </w:numPr>
        <w:spacing w:before="60" w:after="60" w:line="288" w:lineRule="auto"/>
        <w:ind w:left="0"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Կրիպտոակտիվի փոխանցման մեջ ներգրավված բոլոր միջնորդ ֆինանսական հաստատությունները պետք է ապահովեն, որ սույն հոդվածով նախատեսված տեղեկությունների հաղորդումն իրականացվի անմիջապես և անվտանգ կերպով:</w:t>
      </w:r>
    </w:p>
    <w:p w14:paraId="7FB79922" w14:textId="77777777" w:rsidR="00FF000E" w:rsidRPr="00C326F6" w:rsidRDefault="00FF000E" w:rsidP="00FF000E">
      <w:pPr>
        <w:pStyle w:val="ListParagraph"/>
        <w:numPr>
          <w:ilvl w:val="0"/>
          <w:numId w:val="2"/>
        </w:numPr>
        <w:spacing w:before="60" w:after="60" w:line="288" w:lineRule="auto"/>
        <w:ind w:left="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>Սույն հոդվածով նախատեսված պարտականությունները չեն կիրառվում</w:t>
      </w: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՝</w:t>
      </w:r>
    </w:p>
    <w:p w14:paraId="417AAC0E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lastRenderedPageBreak/>
        <w:t>1) ֆինանսական հաստատությունների միջև իրենց անունից կատարվող փոխանցումների և փոխհաշվարկների նկատմամբ.</w:t>
      </w:r>
    </w:p>
    <w:p w14:paraId="1A2774EC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t xml:space="preserve">2) կրեդիտային, </w:t>
      </w:r>
      <w:proofErr w:type="spellStart"/>
      <w:r w:rsidRPr="00C326F6">
        <w:rPr>
          <w:color w:val="000000"/>
          <w:sz w:val="24"/>
          <w:szCs w:val="24"/>
          <w:lang w:val="hy-AM"/>
        </w:rPr>
        <w:t>դեբետային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կամ կանխավճարային քարտերով իրականացվող գործարքների նկատմամբ, եթե գործարքի կատարման և </w:t>
      </w:r>
      <w:proofErr w:type="spellStart"/>
      <w:r w:rsidRPr="00C326F6">
        <w:rPr>
          <w:color w:val="000000"/>
          <w:sz w:val="24"/>
          <w:szCs w:val="24"/>
          <w:lang w:val="hy-AM"/>
        </w:rPr>
        <w:t>ձևակերպման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(հաշվառման) համար հիմք հանդիսացող բոլոր հաղորդագրություններում (ուղեկցող </w:t>
      </w:r>
      <w:proofErr w:type="spellStart"/>
      <w:r w:rsidRPr="00C326F6">
        <w:rPr>
          <w:color w:val="000000"/>
          <w:sz w:val="24"/>
          <w:szCs w:val="24"/>
          <w:lang w:val="hy-AM"/>
        </w:rPr>
        <w:t>գրագրությունում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) առկա է այդ քարտերի համարների վերաբերյալ տեղեկատվությունը: Սույն կետով սահմանված բացառությունը վերաբերում է այն դեպքերին, երբ գործարքը կապված է ավտոմատ գանձման սարքերի միջոցով գումարների </w:t>
      </w:r>
      <w:proofErr w:type="spellStart"/>
      <w:r w:rsidRPr="00C326F6">
        <w:rPr>
          <w:color w:val="000000"/>
          <w:sz w:val="24"/>
          <w:szCs w:val="24"/>
          <w:lang w:val="hy-AM"/>
        </w:rPr>
        <w:t>կանխիկացման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, ապրանքների և ծառայությունների դիմաց վճարման հետ, և չի վերաբերում այն դեպքերին, երբ կրեդիտային, </w:t>
      </w:r>
      <w:proofErr w:type="spellStart"/>
      <w:r w:rsidRPr="00C326F6">
        <w:rPr>
          <w:color w:val="000000"/>
          <w:sz w:val="24"/>
          <w:szCs w:val="24"/>
          <w:lang w:val="hy-AM"/>
        </w:rPr>
        <w:t>դեբետային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կամ կանխավճարային </w:t>
      </w:r>
      <w:proofErr w:type="spellStart"/>
      <w:r w:rsidRPr="00C326F6">
        <w:rPr>
          <w:color w:val="000000"/>
          <w:sz w:val="24"/>
          <w:szCs w:val="24"/>
          <w:lang w:val="hy-AM"/>
        </w:rPr>
        <w:t>քարտերն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օգտագործվում են </w:t>
      </w:r>
      <w:proofErr w:type="spellStart"/>
      <w:r w:rsidRPr="00C326F6">
        <w:rPr>
          <w:color w:val="000000"/>
          <w:sz w:val="24"/>
          <w:szCs w:val="24"/>
          <w:lang w:val="hy-AM"/>
        </w:rPr>
        <w:t>կիրպտոակտիվների</w:t>
      </w:r>
      <w:proofErr w:type="spellEnd"/>
      <w:r w:rsidRPr="00C326F6">
        <w:rPr>
          <w:color w:val="000000"/>
          <w:sz w:val="24"/>
          <w:szCs w:val="24"/>
          <w:lang w:val="hy-AM"/>
        </w:rPr>
        <w:t xml:space="preserve"> փոխանցումներ կատարելու համար:</w:t>
      </w:r>
    </w:p>
    <w:p w14:paraId="76BD416C" w14:textId="77777777" w:rsidR="00FF000E" w:rsidRPr="00C326F6" w:rsidRDefault="00FF000E" w:rsidP="00FF000E">
      <w:pPr>
        <w:pStyle w:val="ListParagraph"/>
        <w:numPr>
          <w:ilvl w:val="0"/>
          <w:numId w:val="2"/>
        </w:numPr>
        <w:spacing w:before="60" w:after="60" w:line="288" w:lineRule="auto"/>
        <w:ind w:left="0"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Կրիպտոակտիվի փոխանցման մեջ ներգրավված միջնորդ ֆինանսական հաստատությունը և կրիպտոակտիվի փոխանցումն ստացող ֆինանսական հաստատությունը պետք է սահմանեն ռիսկերի վրա հիմնված արդյունավետ քաղաքականություն և ընթացակարգեր` բացահայտելու և համարժեք միջոցներ (այդ թվում` գործարքի մերժում կամ կասեցում) ձեռնարկելու կրիպտոակտիվների այն փոխանցումների նկատմամբ, որոնք չեն ներառում սույն հոդվածով նախատեսված տեղեկությունները: Սույն հոդվածով նախատեսվող տեղեկությունները </w:t>
      </w:r>
      <w:proofErr w:type="spellStart"/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>չներառող</w:t>
      </w:r>
      <w:proofErr w:type="spellEnd"/>
      <w:r w:rsidRPr="00971858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կրիպտոակտիվի փոխանցման դեպքում ֆինանսական հաստատությունը պետք է դիտարկի կրիպտոակտիվի փոխանցման մեջ ներգրավված ֆինանսական հաստատությունների հետ թղթակցային կամ համանման այլ հարաբերությունները դադարեցնելու հարցը:</w:t>
      </w:r>
      <w:r w:rsidRPr="00C326F6">
        <w:rPr>
          <w:rFonts w:ascii="GHEA Grapalat" w:hAnsi="GHEA Grapalat"/>
          <w:color w:val="000000"/>
          <w:sz w:val="24"/>
          <w:szCs w:val="24"/>
          <w:lang w:val="hy-AM"/>
        </w:rPr>
        <w:t>»:</w:t>
      </w:r>
    </w:p>
    <w:p w14:paraId="5583B535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Հոդված </w:t>
      </w:r>
      <w:r>
        <w:rPr>
          <w:b/>
          <w:color w:val="000000"/>
          <w:sz w:val="24"/>
          <w:szCs w:val="24"/>
          <w:lang w:val="hy-AM"/>
        </w:rPr>
        <w:t>5</w:t>
      </w:r>
      <w:r w:rsidRPr="00C326F6">
        <w:rPr>
          <w:b/>
          <w:color w:val="000000"/>
          <w:sz w:val="24"/>
          <w:szCs w:val="24"/>
          <w:lang w:val="hy-AM"/>
        </w:rPr>
        <w:t xml:space="preserve">. </w:t>
      </w:r>
      <w:r w:rsidRPr="00C326F6">
        <w:rPr>
          <w:color w:val="000000"/>
          <w:sz w:val="24"/>
          <w:szCs w:val="24"/>
          <w:lang w:val="hy-AM"/>
        </w:rPr>
        <w:t>Օրենքի 27-րդ հոդվածը լրացնել հետևյալ բովանդակությամբ 4-րդ մասով.</w:t>
      </w:r>
    </w:p>
    <w:p w14:paraId="38CB9E87" w14:textId="77777777" w:rsidR="00FF000E" w:rsidRPr="00C326F6" w:rsidRDefault="00FF000E" w:rsidP="00FF000E">
      <w:pPr>
        <w:rPr>
          <w:color w:val="000000"/>
          <w:sz w:val="24"/>
          <w:szCs w:val="24"/>
          <w:lang w:val="hy-AM"/>
        </w:rPr>
      </w:pPr>
      <w:r w:rsidRPr="00C326F6">
        <w:rPr>
          <w:color w:val="000000"/>
          <w:sz w:val="24"/>
          <w:szCs w:val="24"/>
          <w:lang w:val="hy-AM"/>
        </w:rPr>
        <w:t>«4. Կրիպտոակտիվի փոխանցում իրականացնող ֆինանսական հաստատությունը պետք է մերժի կրիպտոակտիվի փոխանցման ցանկացած պահանջ, եթե բացակայում է սույն օրենքի 20.1-ին հոդվածով սահմանված տեղեկություն</w:t>
      </w:r>
      <w:r>
        <w:rPr>
          <w:color w:val="000000"/>
          <w:sz w:val="24"/>
          <w:szCs w:val="24"/>
          <w:lang w:val="hy-AM"/>
        </w:rPr>
        <w:t>ները</w:t>
      </w:r>
      <w:r w:rsidRPr="00C326F6">
        <w:rPr>
          <w:color w:val="000000"/>
          <w:sz w:val="24"/>
          <w:szCs w:val="24"/>
          <w:lang w:val="hy-AM"/>
        </w:rPr>
        <w:t xml:space="preserve"> և դիտարկի դրանք սույն օրենքի 7-րդ հոդվածի համաձայն կասկածելի որակելու հարցը:»:</w:t>
      </w:r>
    </w:p>
    <w:p w14:paraId="768D6693" w14:textId="77777777" w:rsidR="00FF000E" w:rsidRPr="00C326F6" w:rsidRDefault="00FF000E" w:rsidP="00FF000E">
      <w:pPr>
        <w:rPr>
          <w:b/>
          <w:color w:val="000000"/>
          <w:sz w:val="24"/>
          <w:szCs w:val="24"/>
          <w:lang w:val="hy-AM"/>
        </w:rPr>
      </w:pPr>
      <w:r w:rsidRPr="00C326F6">
        <w:rPr>
          <w:b/>
          <w:color w:val="000000"/>
          <w:sz w:val="24"/>
          <w:szCs w:val="24"/>
          <w:lang w:val="hy-AM"/>
        </w:rPr>
        <w:t xml:space="preserve">Հոդված </w:t>
      </w:r>
      <w:r>
        <w:rPr>
          <w:b/>
          <w:color w:val="000000"/>
          <w:sz w:val="24"/>
          <w:szCs w:val="24"/>
          <w:lang w:val="hy-AM"/>
        </w:rPr>
        <w:t>6</w:t>
      </w:r>
      <w:r w:rsidRPr="00C326F6">
        <w:rPr>
          <w:b/>
          <w:color w:val="000000"/>
          <w:sz w:val="24"/>
          <w:szCs w:val="24"/>
          <w:lang w:val="hy-AM"/>
        </w:rPr>
        <w:t xml:space="preserve">. </w:t>
      </w:r>
      <w:r w:rsidRPr="00C326F6">
        <w:rPr>
          <w:color w:val="000000"/>
          <w:sz w:val="24"/>
          <w:szCs w:val="24"/>
          <w:lang w:val="hy-AM"/>
        </w:rPr>
        <w:t>Սույն օրենքն ուժի մեջ է մտնում պաշտոնական հրապարակմանը հաջորդող տասներորդ օրը:</w:t>
      </w:r>
    </w:p>
    <w:p w14:paraId="29A504D3" w14:textId="77777777" w:rsidR="00FF000E" w:rsidRPr="00C326F6" w:rsidRDefault="00FF000E" w:rsidP="00FF000E">
      <w:pPr>
        <w:pStyle w:val="ListParagraph"/>
        <w:spacing w:before="60" w:after="60" w:line="288" w:lineRule="auto"/>
        <w:ind w:left="54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3AB6CA06" w14:textId="77777777" w:rsidR="00FF000E" w:rsidRPr="00411510" w:rsidRDefault="00FF000E" w:rsidP="00FF000E">
      <w:pPr>
        <w:rPr>
          <w:sz w:val="24"/>
          <w:lang w:val="hy-AM"/>
        </w:rPr>
      </w:pPr>
    </w:p>
    <w:p w14:paraId="11712AF0" w14:textId="77777777" w:rsidR="00E81CF8" w:rsidRPr="00FF000E" w:rsidRDefault="00E81CF8">
      <w:pPr>
        <w:rPr>
          <w:sz w:val="24"/>
          <w:lang w:val="hy-AM"/>
        </w:rPr>
      </w:pPr>
    </w:p>
    <w:sectPr w:rsidR="00E81CF8" w:rsidRPr="00FF000E" w:rsidSect="003066C6">
      <w:footerReference w:type="default" r:id="rId7"/>
      <w:pgSz w:w="12240" w:h="15840" w:code="1"/>
      <w:pgMar w:top="108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625E" w14:textId="77777777" w:rsidR="00975496" w:rsidRDefault="00975496">
      <w:pPr>
        <w:spacing w:before="0" w:after="0" w:line="240" w:lineRule="auto"/>
      </w:pPr>
      <w:r>
        <w:separator/>
      </w:r>
    </w:p>
  </w:endnote>
  <w:endnote w:type="continuationSeparator" w:id="0">
    <w:p w14:paraId="0CA02888" w14:textId="77777777" w:rsidR="00975496" w:rsidRDefault="009754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6B47" w14:textId="77777777" w:rsidR="00D64EAC" w:rsidRPr="00FC090C" w:rsidRDefault="00FF000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sz w:val="24"/>
          </w:rPr>
          <w:fldChar w:fldCharType="separate"/>
        </w:r>
        <w:r w:rsidR="00FC6CFD">
          <w:rPr>
            <w:rFonts w:ascii="GHEA Grapalat" w:hAnsi="GHEA Grapalat"/>
            <w:noProof/>
            <w:sz w:val="24"/>
          </w:rPr>
          <w:t>3</w:t>
        </w:r>
        <w:r w:rsidRPr="00FC090C">
          <w:rPr>
            <w:rFonts w:ascii="GHEA Grapalat" w:hAnsi="GHEA Grapalat"/>
            <w:noProof/>
            <w:sz w:val="24"/>
          </w:rPr>
          <w:fldChar w:fldCharType="end"/>
        </w:r>
      </w:p>
    </w:sdtContent>
  </w:sdt>
  <w:p w14:paraId="1DC9499A" w14:textId="77777777" w:rsidR="00D64EAC" w:rsidRDefault="00D64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C610" w14:textId="77777777" w:rsidR="00975496" w:rsidRDefault="00975496">
      <w:pPr>
        <w:spacing w:before="0" w:after="0" w:line="240" w:lineRule="auto"/>
      </w:pPr>
      <w:r>
        <w:separator/>
      </w:r>
    </w:p>
  </w:footnote>
  <w:footnote w:type="continuationSeparator" w:id="0">
    <w:p w14:paraId="36CC7F0D" w14:textId="77777777" w:rsidR="00975496" w:rsidRDefault="0097549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230"/>
    <w:multiLevelType w:val="hybridMultilevel"/>
    <w:tmpl w:val="1930C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0119106">
    <w:abstractNumId w:val="1"/>
  </w:num>
  <w:num w:numId="2" w16cid:durableId="6395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8FC"/>
    <w:rsid w:val="000B57C7"/>
    <w:rsid w:val="001C452F"/>
    <w:rsid w:val="002F0406"/>
    <w:rsid w:val="003306C5"/>
    <w:rsid w:val="004C5358"/>
    <w:rsid w:val="00630103"/>
    <w:rsid w:val="0080007F"/>
    <w:rsid w:val="00851C0E"/>
    <w:rsid w:val="00870A34"/>
    <w:rsid w:val="008858FC"/>
    <w:rsid w:val="009265DC"/>
    <w:rsid w:val="00937F61"/>
    <w:rsid w:val="00975496"/>
    <w:rsid w:val="00BA5B65"/>
    <w:rsid w:val="00BC1598"/>
    <w:rsid w:val="00D64EAC"/>
    <w:rsid w:val="00E81CF8"/>
    <w:rsid w:val="00FC6CFD"/>
    <w:rsid w:val="00FD49E8"/>
    <w:rsid w:val="00F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34CC0"/>
  <w15:chartTrackingRefBased/>
  <w15:docId w15:val="{7D569FAC-1258-48B3-8421-FEEBBC11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before="60" w:after="60" w:line="288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00E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000E"/>
    <w:pPr>
      <w:tabs>
        <w:tab w:val="center" w:pos="4844"/>
        <w:tab w:val="right" w:pos="9689"/>
      </w:tabs>
      <w:spacing w:before="0"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F000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CF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CF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64EAC"/>
    <w:pPr>
      <w:spacing w:before="0" w:after="0" w:line="240" w:lineRule="auto"/>
      <w:ind w:firstLine="0"/>
      <w:jc w:val="left"/>
    </w:pPr>
  </w:style>
  <w:style w:type="character" w:styleId="CommentReference">
    <w:name w:val="annotation reference"/>
    <w:basedOn w:val="DefaultParagraphFont"/>
    <w:uiPriority w:val="99"/>
    <w:semiHidden/>
    <w:unhideWhenUsed/>
    <w:rsid w:val="004C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53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3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Գարեգին Լպուտյան</dc:creator>
  <cp:keywords/>
  <dc:description/>
  <cp:lastModifiedBy>Միլենա Ասլանյան</cp:lastModifiedBy>
  <cp:revision>5</cp:revision>
  <dcterms:created xsi:type="dcterms:W3CDTF">2025-01-22T12:56:00Z</dcterms:created>
  <dcterms:modified xsi:type="dcterms:W3CDTF">2025-01-23T13:51:00Z</dcterms:modified>
</cp:coreProperties>
</file>